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67"/>
        <w:ind w:left="100" w:right="0" w:firstLine="0"/>
        <w:jc w:val="left"/>
        <w:rPr>
          <w:b/>
          <w:sz w:val="20"/>
        </w:rPr>
      </w:pPr>
      <w:r>
        <w:rPr>
          <w:b/>
          <w:sz w:val="20"/>
        </w:rPr>
        <w:t>Order</w:t>
      </w:r>
      <w:r>
        <w:rPr>
          <w:b/>
          <w:spacing w:val="-7"/>
          <w:sz w:val="20"/>
        </w:rPr>
        <w:t> </w:t>
      </w:r>
      <w:r>
        <w:rPr>
          <w:b/>
          <w:sz w:val="20"/>
        </w:rPr>
        <w:t>Schedule</w:t>
      </w:r>
      <w:r>
        <w:rPr>
          <w:b/>
          <w:spacing w:val="-8"/>
          <w:sz w:val="20"/>
        </w:rPr>
        <w:t> </w:t>
      </w:r>
      <w:r>
        <w:rPr>
          <w:b/>
          <w:sz w:val="20"/>
        </w:rPr>
        <w:t>10</w:t>
      </w:r>
      <w:r>
        <w:rPr>
          <w:b/>
          <w:spacing w:val="-6"/>
          <w:sz w:val="20"/>
        </w:rPr>
        <w:t> </w:t>
      </w:r>
      <w:r>
        <w:rPr>
          <w:b/>
          <w:sz w:val="20"/>
        </w:rPr>
        <w:t>(Exit</w:t>
      </w:r>
      <w:r>
        <w:rPr>
          <w:b/>
          <w:spacing w:val="-5"/>
          <w:sz w:val="20"/>
        </w:rPr>
        <w:t> </w:t>
      </w:r>
      <w:r>
        <w:rPr>
          <w:b/>
          <w:spacing w:val="-2"/>
          <w:sz w:val="20"/>
        </w:rPr>
        <w:t>Management)</w:t>
      </w:r>
    </w:p>
    <w:p>
      <w:pPr>
        <w:spacing w:before="2"/>
        <w:ind w:left="100" w:right="0" w:firstLine="0"/>
        <w:jc w:val="left"/>
        <w:rPr>
          <w:sz w:val="20"/>
        </w:rPr>
      </w:pPr>
      <w:r>
        <w:rPr>
          <w:spacing w:val="-2"/>
          <w:sz w:val="20"/>
        </w:rPr>
        <w:t>Crown</w:t>
      </w:r>
      <w:r>
        <w:rPr>
          <w:spacing w:val="3"/>
          <w:sz w:val="20"/>
        </w:rPr>
        <w:t> </w:t>
      </w:r>
      <w:r>
        <w:rPr>
          <w:spacing w:val="-2"/>
          <w:sz w:val="20"/>
        </w:rPr>
        <w:t>Copyright</w:t>
      </w:r>
      <w:r>
        <w:rPr>
          <w:spacing w:val="-13"/>
          <w:sz w:val="20"/>
        </w:rPr>
        <w:t> </w:t>
      </w:r>
      <w:r>
        <w:rPr>
          <w:spacing w:val="-4"/>
          <w:sz w:val="20"/>
        </w:rPr>
        <w:t>2020</w:t>
      </w:r>
    </w:p>
    <w:p>
      <w:pPr>
        <w:pStyle w:val="BodyText"/>
        <w:rPr>
          <w:sz w:val="20"/>
        </w:rPr>
      </w:pPr>
    </w:p>
    <w:p>
      <w:pPr>
        <w:pStyle w:val="BodyText"/>
        <w:rPr>
          <w:sz w:val="20"/>
        </w:rPr>
      </w:pPr>
    </w:p>
    <w:p>
      <w:pPr>
        <w:pStyle w:val="Title"/>
      </w:pPr>
      <w:r>
        <w:rPr/>
        <w:t>Order</w:t>
      </w:r>
      <w:r>
        <w:rPr>
          <w:spacing w:val="-10"/>
        </w:rPr>
        <w:t> </w:t>
      </w:r>
      <w:r>
        <w:rPr/>
        <w:t>Schedule</w:t>
      </w:r>
      <w:r>
        <w:rPr>
          <w:spacing w:val="-8"/>
        </w:rPr>
        <w:t> </w:t>
      </w:r>
      <w:r>
        <w:rPr/>
        <w:t>10</w:t>
      </w:r>
      <w:r>
        <w:rPr>
          <w:spacing w:val="-8"/>
        </w:rPr>
        <w:t> </w:t>
      </w:r>
      <w:r>
        <w:rPr/>
        <w:t>(Exit</w:t>
      </w:r>
      <w:r>
        <w:rPr>
          <w:spacing w:val="-10"/>
        </w:rPr>
        <w:t> </w:t>
      </w:r>
      <w:r>
        <w:rPr>
          <w:spacing w:val="-2"/>
        </w:rPr>
        <w:t>Management)</w:t>
      </w:r>
    </w:p>
    <w:p>
      <w:pPr>
        <w:pStyle w:val="BodyText"/>
        <w:rPr>
          <w:b/>
          <w:sz w:val="36"/>
        </w:rPr>
      </w:pPr>
    </w:p>
    <w:p>
      <w:pPr>
        <w:pStyle w:val="BodyText"/>
        <w:spacing w:before="1"/>
        <w:rPr>
          <w:b/>
          <w:sz w:val="30"/>
        </w:rPr>
      </w:pPr>
    </w:p>
    <w:p>
      <w:pPr>
        <w:pStyle w:val="ListParagraph"/>
        <w:numPr>
          <w:ilvl w:val="0"/>
          <w:numId w:val="1"/>
        </w:numPr>
        <w:tabs>
          <w:tab w:pos="820" w:val="left" w:leader="none"/>
          <w:tab w:pos="821" w:val="left" w:leader="none"/>
        </w:tabs>
        <w:spacing w:line="276" w:lineRule="auto" w:before="0" w:after="0"/>
        <w:ind w:left="100" w:right="364" w:firstLine="0"/>
        <w:jc w:val="left"/>
        <w:rPr>
          <w:sz w:val="24"/>
        </w:rPr>
      </w:pPr>
      <w:r>
        <w:rPr>
          <w:sz w:val="24"/>
        </w:rPr>
        <w:t>Within 20 (twenty) working days of the Start Date the Supplier must provide for</w:t>
      </w:r>
      <w:r>
        <w:rPr>
          <w:spacing w:val="-4"/>
          <w:sz w:val="24"/>
        </w:rPr>
        <w:t> </w:t>
      </w:r>
      <w:r>
        <w:rPr>
          <w:sz w:val="24"/>
        </w:rPr>
        <w:t>the</w:t>
      </w:r>
      <w:r>
        <w:rPr>
          <w:spacing w:val="-5"/>
          <w:sz w:val="24"/>
        </w:rPr>
        <w:t> </w:t>
      </w:r>
      <w:r>
        <w:rPr>
          <w:sz w:val="24"/>
        </w:rPr>
        <w:t>Buyer’s</w:t>
      </w:r>
      <w:r>
        <w:rPr>
          <w:spacing w:val="-4"/>
          <w:sz w:val="24"/>
        </w:rPr>
        <w:t> </w:t>
      </w:r>
      <w:r>
        <w:rPr>
          <w:sz w:val="24"/>
        </w:rPr>
        <w:t>Approval</w:t>
      </w:r>
      <w:r>
        <w:rPr>
          <w:spacing w:val="-2"/>
          <w:sz w:val="24"/>
        </w:rPr>
        <w:t> </w:t>
      </w:r>
      <w:r>
        <w:rPr>
          <w:sz w:val="24"/>
        </w:rPr>
        <w:t>an</w:t>
      </w:r>
      <w:r>
        <w:rPr>
          <w:spacing w:val="-5"/>
          <w:sz w:val="24"/>
        </w:rPr>
        <w:t> </w:t>
      </w:r>
      <w:r>
        <w:rPr>
          <w:sz w:val="24"/>
        </w:rPr>
        <w:t>exit</w:t>
      </w:r>
      <w:r>
        <w:rPr>
          <w:spacing w:val="-4"/>
          <w:sz w:val="24"/>
        </w:rPr>
        <w:t> </w:t>
      </w:r>
      <w:r>
        <w:rPr>
          <w:sz w:val="24"/>
        </w:rPr>
        <w:t>plan</w:t>
      </w:r>
      <w:r>
        <w:rPr>
          <w:spacing w:val="-2"/>
          <w:sz w:val="24"/>
        </w:rPr>
        <w:t> </w:t>
      </w:r>
      <w:r>
        <w:rPr>
          <w:sz w:val="24"/>
        </w:rPr>
        <w:t>which</w:t>
      </w:r>
      <w:r>
        <w:rPr>
          <w:spacing w:val="-3"/>
          <w:sz w:val="24"/>
        </w:rPr>
        <w:t> </w:t>
      </w:r>
      <w:r>
        <w:rPr>
          <w:sz w:val="24"/>
        </w:rPr>
        <w:t>ensures</w:t>
      </w:r>
      <w:r>
        <w:rPr>
          <w:spacing w:val="-3"/>
          <w:sz w:val="24"/>
        </w:rPr>
        <w:t> </w:t>
      </w:r>
      <w:r>
        <w:rPr>
          <w:sz w:val="24"/>
        </w:rPr>
        <w:t>continuity</w:t>
      </w:r>
      <w:r>
        <w:rPr>
          <w:spacing w:val="-6"/>
          <w:sz w:val="24"/>
        </w:rPr>
        <w:t> </w:t>
      </w:r>
      <w:r>
        <w:rPr>
          <w:sz w:val="24"/>
        </w:rPr>
        <w:t>of</w:t>
      </w:r>
      <w:r>
        <w:rPr>
          <w:spacing w:val="-3"/>
          <w:sz w:val="24"/>
        </w:rPr>
        <w:t> </w:t>
      </w:r>
      <w:r>
        <w:rPr>
          <w:sz w:val="24"/>
        </w:rPr>
        <w:t>service</w:t>
      </w:r>
      <w:r>
        <w:rPr>
          <w:spacing w:val="-3"/>
          <w:sz w:val="24"/>
        </w:rPr>
        <w:t> </w:t>
      </w:r>
      <w:r>
        <w:rPr>
          <w:sz w:val="24"/>
        </w:rPr>
        <w:t>and which the Supplier will follow at the end of the Order Contract. The Buyer shall not unreasonably withhold Approval of the draft provided that the Supplier shall incorporate the Buyer’s reasonable requirements in it</w:t>
      </w:r>
    </w:p>
    <w:p>
      <w:pPr>
        <w:pStyle w:val="ListParagraph"/>
        <w:numPr>
          <w:ilvl w:val="0"/>
          <w:numId w:val="1"/>
        </w:numPr>
        <w:tabs>
          <w:tab w:pos="820" w:val="left" w:leader="none"/>
          <w:tab w:pos="821" w:val="left" w:leader="none"/>
        </w:tabs>
        <w:spacing w:line="276" w:lineRule="auto" w:before="201" w:after="0"/>
        <w:ind w:left="100" w:right="357" w:firstLine="0"/>
        <w:jc w:val="left"/>
        <w:rPr>
          <w:sz w:val="24"/>
        </w:rPr>
      </w:pPr>
      <w:r>
        <w:rPr>
          <w:sz w:val="24"/>
        </w:rPr>
        <w:t>The Supplier must ensure that the exit plan clearly sets out the Supplier’s methodology</w:t>
      </w:r>
      <w:r>
        <w:rPr>
          <w:spacing w:val="-6"/>
          <w:sz w:val="24"/>
        </w:rPr>
        <w:t> </w:t>
      </w:r>
      <w:r>
        <w:rPr>
          <w:sz w:val="24"/>
        </w:rPr>
        <w:t>for</w:t>
      </w:r>
      <w:r>
        <w:rPr>
          <w:spacing w:val="-3"/>
          <w:sz w:val="24"/>
        </w:rPr>
        <w:t> </w:t>
      </w:r>
      <w:r>
        <w:rPr>
          <w:sz w:val="24"/>
        </w:rPr>
        <w:t>achieving</w:t>
      </w:r>
      <w:r>
        <w:rPr>
          <w:spacing w:val="-4"/>
          <w:sz w:val="24"/>
        </w:rPr>
        <w:t> </w:t>
      </w:r>
      <w:r>
        <w:rPr>
          <w:sz w:val="24"/>
        </w:rPr>
        <w:t>an</w:t>
      </w:r>
      <w:r>
        <w:rPr>
          <w:spacing w:val="-3"/>
          <w:sz w:val="24"/>
        </w:rPr>
        <w:t> </w:t>
      </w:r>
      <w:r>
        <w:rPr>
          <w:sz w:val="24"/>
        </w:rPr>
        <w:t>orderly</w:t>
      </w:r>
      <w:r>
        <w:rPr>
          <w:spacing w:val="-6"/>
          <w:sz w:val="24"/>
        </w:rPr>
        <w:t> </w:t>
      </w:r>
      <w:r>
        <w:rPr>
          <w:sz w:val="24"/>
        </w:rPr>
        <w:t>transition</w:t>
      </w:r>
      <w:r>
        <w:rPr>
          <w:spacing w:val="-2"/>
          <w:sz w:val="24"/>
        </w:rPr>
        <w:t> </w:t>
      </w:r>
      <w:r>
        <w:rPr>
          <w:sz w:val="24"/>
        </w:rPr>
        <w:t>of</w:t>
      </w:r>
      <w:r>
        <w:rPr>
          <w:spacing w:val="-3"/>
          <w:sz w:val="24"/>
        </w:rPr>
        <w:t> </w:t>
      </w:r>
      <w:r>
        <w:rPr>
          <w:sz w:val="24"/>
        </w:rPr>
        <w:t>the</w:t>
      </w:r>
      <w:r>
        <w:rPr>
          <w:spacing w:val="-3"/>
          <w:sz w:val="24"/>
        </w:rPr>
        <w:t> </w:t>
      </w:r>
      <w:r>
        <w:rPr>
          <w:sz w:val="24"/>
        </w:rPr>
        <w:t>Services</w:t>
      </w:r>
      <w:r>
        <w:rPr>
          <w:spacing w:val="-3"/>
          <w:sz w:val="24"/>
        </w:rPr>
        <w:t> </w:t>
      </w:r>
      <w:r>
        <w:rPr>
          <w:sz w:val="24"/>
        </w:rPr>
        <w:t>from</w:t>
      </w:r>
      <w:r>
        <w:rPr>
          <w:spacing w:val="-2"/>
          <w:sz w:val="24"/>
        </w:rPr>
        <w:t> </w:t>
      </w:r>
      <w:r>
        <w:rPr>
          <w:sz w:val="24"/>
        </w:rPr>
        <w:t>the</w:t>
      </w:r>
      <w:r>
        <w:rPr>
          <w:spacing w:val="-3"/>
          <w:sz w:val="24"/>
        </w:rPr>
        <w:t> </w:t>
      </w:r>
      <w:r>
        <w:rPr>
          <w:sz w:val="24"/>
        </w:rPr>
        <w:t>Supplier</w:t>
      </w:r>
      <w:r>
        <w:rPr>
          <w:spacing w:val="-3"/>
          <w:sz w:val="24"/>
        </w:rPr>
        <w:t> </w:t>
      </w:r>
      <w:r>
        <w:rPr>
          <w:sz w:val="24"/>
        </w:rPr>
        <w:t>to the Buyer or its Replacement Supplier at the expiry or if the Order Contract ends before the scheduled expiry.</w:t>
      </w:r>
    </w:p>
    <w:p>
      <w:pPr>
        <w:pStyle w:val="ListParagraph"/>
        <w:numPr>
          <w:ilvl w:val="0"/>
          <w:numId w:val="1"/>
        </w:numPr>
        <w:tabs>
          <w:tab w:pos="820" w:val="left" w:leader="none"/>
          <w:tab w:pos="821" w:val="left" w:leader="none"/>
        </w:tabs>
        <w:spacing w:line="278" w:lineRule="auto" w:before="200" w:after="0"/>
        <w:ind w:left="100" w:right="314" w:firstLine="0"/>
        <w:jc w:val="left"/>
        <w:rPr>
          <w:sz w:val="24"/>
        </w:rPr>
      </w:pPr>
      <w:r>
        <w:rPr>
          <w:sz w:val="24"/>
        </w:rPr>
        <w:t>The</w:t>
      </w:r>
      <w:r>
        <w:rPr>
          <w:spacing w:val="-3"/>
          <w:sz w:val="24"/>
        </w:rPr>
        <w:t> </w:t>
      </w:r>
      <w:r>
        <w:rPr>
          <w:sz w:val="24"/>
        </w:rPr>
        <w:t>exit</w:t>
      </w:r>
      <w:r>
        <w:rPr>
          <w:spacing w:val="-4"/>
          <w:sz w:val="24"/>
        </w:rPr>
        <w:t> </w:t>
      </w:r>
      <w:r>
        <w:rPr>
          <w:sz w:val="24"/>
        </w:rPr>
        <w:t>plan</w:t>
      </w:r>
      <w:r>
        <w:rPr>
          <w:spacing w:val="-3"/>
          <w:sz w:val="24"/>
        </w:rPr>
        <w:t> </w:t>
      </w:r>
      <w:r>
        <w:rPr>
          <w:sz w:val="24"/>
        </w:rPr>
        <w:t>should</w:t>
      </w:r>
      <w:r>
        <w:rPr>
          <w:spacing w:val="-1"/>
          <w:sz w:val="24"/>
        </w:rPr>
        <w:t> </w:t>
      </w:r>
      <w:r>
        <w:rPr>
          <w:sz w:val="24"/>
        </w:rPr>
        <w:t>set</w:t>
      </w:r>
      <w:r>
        <w:rPr>
          <w:spacing w:val="-3"/>
          <w:sz w:val="24"/>
        </w:rPr>
        <w:t> </w:t>
      </w:r>
      <w:r>
        <w:rPr>
          <w:sz w:val="24"/>
        </w:rPr>
        <w:t>out</w:t>
      </w:r>
      <w:r>
        <w:rPr>
          <w:spacing w:val="-5"/>
          <w:sz w:val="24"/>
        </w:rPr>
        <w:t> </w:t>
      </w:r>
      <w:r>
        <w:rPr>
          <w:sz w:val="24"/>
        </w:rPr>
        <w:t>full</w:t>
      </w:r>
      <w:r>
        <w:rPr>
          <w:spacing w:val="-4"/>
          <w:sz w:val="24"/>
        </w:rPr>
        <w:t> </w:t>
      </w:r>
      <w:r>
        <w:rPr>
          <w:sz w:val="24"/>
        </w:rPr>
        <w:t>details</w:t>
      </w:r>
      <w:r>
        <w:rPr>
          <w:spacing w:val="-3"/>
          <w:sz w:val="24"/>
        </w:rPr>
        <w:t> </w:t>
      </w:r>
      <w:r>
        <w:rPr>
          <w:sz w:val="24"/>
        </w:rPr>
        <w:t>of</w:t>
      </w:r>
      <w:r>
        <w:rPr>
          <w:spacing w:val="-3"/>
          <w:sz w:val="24"/>
        </w:rPr>
        <w:t> </w:t>
      </w:r>
      <w:r>
        <w:rPr>
          <w:sz w:val="24"/>
        </w:rPr>
        <w:t>timescales,</w:t>
      </w:r>
      <w:r>
        <w:rPr>
          <w:spacing w:val="-5"/>
          <w:sz w:val="24"/>
        </w:rPr>
        <w:t> </w:t>
      </w:r>
      <w:r>
        <w:rPr>
          <w:sz w:val="24"/>
        </w:rPr>
        <w:t>activities</w:t>
      </w:r>
      <w:r>
        <w:rPr>
          <w:spacing w:val="-3"/>
          <w:sz w:val="24"/>
        </w:rPr>
        <w:t> </w:t>
      </w:r>
      <w:r>
        <w:rPr>
          <w:sz w:val="24"/>
        </w:rPr>
        <w:t>and</w:t>
      </w:r>
      <w:r>
        <w:rPr>
          <w:spacing w:val="-5"/>
          <w:sz w:val="24"/>
        </w:rPr>
        <w:t> </w:t>
      </w:r>
      <w:r>
        <w:rPr>
          <w:sz w:val="24"/>
        </w:rPr>
        <w:t>roles</w:t>
      </w:r>
      <w:r>
        <w:rPr>
          <w:spacing w:val="-3"/>
          <w:sz w:val="24"/>
        </w:rPr>
        <w:t> </w:t>
      </w:r>
      <w:r>
        <w:rPr>
          <w:sz w:val="24"/>
        </w:rPr>
        <w:t>and responsibilities of the Parties for:</w:t>
      </w:r>
    </w:p>
    <w:p>
      <w:pPr>
        <w:pStyle w:val="ListParagraph"/>
        <w:numPr>
          <w:ilvl w:val="1"/>
          <w:numId w:val="1"/>
        </w:numPr>
        <w:tabs>
          <w:tab w:pos="1633" w:val="left" w:leader="none"/>
          <w:tab w:pos="1634" w:val="left" w:leader="none"/>
        </w:tabs>
        <w:spacing w:line="276" w:lineRule="auto" w:before="195" w:after="0"/>
        <w:ind w:left="820" w:right="640" w:firstLine="0"/>
        <w:jc w:val="left"/>
        <w:rPr>
          <w:sz w:val="24"/>
        </w:rPr>
      </w:pPr>
      <w:r>
        <w:rPr>
          <w:sz w:val="24"/>
        </w:rPr>
        <w:t>the</w:t>
      </w:r>
      <w:r>
        <w:rPr>
          <w:spacing w:val="-5"/>
          <w:sz w:val="24"/>
        </w:rPr>
        <w:t> </w:t>
      </w:r>
      <w:r>
        <w:rPr>
          <w:sz w:val="24"/>
        </w:rPr>
        <w:t>transfer</w:t>
      </w:r>
      <w:r>
        <w:rPr>
          <w:spacing w:val="-5"/>
          <w:sz w:val="24"/>
        </w:rPr>
        <w:t> </w:t>
      </w:r>
      <w:r>
        <w:rPr>
          <w:sz w:val="24"/>
        </w:rPr>
        <w:t>to</w:t>
      </w:r>
      <w:r>
        <w:rPr>
          <w:spacing w:val="-5"/>
          <w:sz w:val="24"/>
        </w:rPr>
        <w:t> </w:t>
      </w:r>
      <w:r>
        <w:rPr>
          <w:sz w:val="24"/>
        </w:rPr>
        <w:t>the</w:t>
      </w:r>
      <w:r>
        <w:rPr>
          <w:spacing w:val="-5"/>
          <w:sz w:val="24"/>
        </w:rPr>
        <w:t> </w:t>
      </w:r>
      <w:r>
        <w:rPr>
          <w:sz w:val="24"/>
        </w:rPr>
        <w:t>Buyer</w:t>
      </w:r>
      <w:r>
        <w:rPr>
          <w:spacing w:val="-5"/>
          <w:sz w:val="24"/>
        </w:rPr>
        <w:t> </w:t>
      </w:r>
      <w:r>
        <w:rPr>
          <w:sz w:val="24"/>
        </w:rPr>
        <w:t>of</w:t>
      </w:r>
      <w:r>
        <w:rPr>
          <w:spacing w:val="-3"/>
          <w:sz w:val="24"/>
        </w:rPr>
        <w:t> </w:t>
      </w:r>
      <w:r>
        <w:rPr>
          <w:sz w:val="24"/>
        </w:rPr>
        <w:t>any</w:t>
      </w:r>
      <w:r>
        <w:rPr>
          <w:spacing w:val="-8"/>
          <w:sz w:val="24"/>
        </w:rPr>
        <w:t> </w:t>
      </w:r>
      <w:r>
        <w:rPr>
          <w:sz w:val="24"/>
        </w:rPr>
        <w:t>technical</w:t>
      </w:r>
      <w:r>
        <w:rPr>
          <w:spacing w:val="-6"/>
          <w:sz w:val="24"/>
        </w:rPr>
        <w:t> </w:t>
      </w:r>
      <w:r>
        <w:rPr>
          <w:sz w:val="24"/>
        </w:rPr>
        <w:t>information,</w:t>
      </w:r>
      <w:r>
        <w:rPr>
          <w:spacing w:val="-5"/>
          <w:sz w:val="24"/>
        </w:rPr>
        <w:t> </w:t>
      </w:r>
      <w:r>
        <w:rPr>
          <w:sz w:val="24"/>
        </w:rPr>
        <w:t>instructions, manuals and code reasonably required by the Buyer to enable a smooth migration from the Supplier</w:t>
      </w:r>
    </w:p>
    <w:p>
      <w:pPr>
        <w:pStyle w:val="ListParagraph"/>
        <w:numPr>
          <w:ilvl w:val="1"/>
          <w:numId w:val="1"/>
        </w:numPr>
        <w:tabs>
          <w:tab w:pos="1566" w:val="left" w:leader="none"/>
          <w:tab w:pos="1567" w:val="left" w:leader="none"/>
        </w:tabs>
        <w:spacing w:line="278" w:lineRule="auto" w:before="200" w:after="0"/>
        <w:ind w:left="820" w:right="141" w:firstLine="0"/>
        <w:jc w:val="left"/>
        <w:rPr>
          <w:sz w:val="24"/>
        </w:rPr>
      </w:pPr>
      <w:r>
        <w:rPr>
          <w:sz w:val="24"/>
        </w:rPr>
        <w:t>the strategy for export and migration of Buyer data from any relevant Supplier</w:t>
      </w:r>
      <w:r>
        <w:rPr>
          <w:spacing w:val="-4"/>
          <w:sz w:val="24"/>
        </w:rPr>
        <w:t> </w:t>
      </w:r>
      <w:r>
        <w:rPr>
          <w:sz w:val="24"/>
        </w:rPr>
        <w:t>system</w:t>
      </w:r>
      <w:r>
        <w:rPr>
          <w:spacing w:val="-3"/>
          <w:sz w:val="24"/>
        </w:rPr>
        <w:t> </w:t>
      </w:r>
      <w:r>
        <w:rPr>
          <w:sz w:val="24"/>
        </w:rPr>
        <w:t>to</w:t>
      </w:r>
      <w:r>
        <w:rPr>
          <w:spacing w:val="-6"/>
          <w:sz w:val="24"/>
        </w:rPr>
        <w:t> </w:t>
      </w:r>
      <w:r>
        <w:rPr>
          <w:sz w:val="24"/>
        </w:rPr>
        <w:t>the</w:t>
      </w:r>
      <w:r>
        <w:rPr>
          <w:spacing w:val="-6"/>
          <w:sz w:val="24"/>
        </w:rPr>
        <w:t> </w:t>
      </w:r>
      <w:r>
        <w:rPr>
          <w:sz w:val="24"/>
        </w:rPr>
        <w:t>Buyer</w:t>
      </w:r>
      <w:r>
        <w:rPr>
          <w:spacing w:val="-4"/>
          <w:sz w:val="24"/>
        </w:rPr>
        <w:t> </w:t>
      </w:r>
      <w:r>
        <w:rPr>
          <w:sz w:val="24"/>
        </w:rPr>
        <w:t>or</w:t>
      </w:r>
      <w:r>
        <w:rPr>
          <w:spacing w:val="-4"/>
          <w:sz w:val="24"/>
        </w:rPr>
        <w:t> </w:t>
      </w:r>
      <w:r>
        <w:rPr>
          <w:sz w:val="24"/>
        </w:rPr>
        <w:t>a Replacement</w:t>
      </w:r>
      <w:r>
        <w:rPr>
          <w:spacing w:val="-2"/>
          <w:sz w:val="24"/>
        </w:rPr>
        <w:t> </w:t>
      </w:r>
      <w:r>
        <w:rPr>
          <w:sz w:val="24"/>
        </w:rPr>
        <w:t>Supplier,</w:t>
      </w:r>
      <w:r>
        <w:rPr>
          <w:spacing w:val="-4"/>
          <w:sz w:val="24"/>
        </w:rPr>
        <w:t> </w:t>
      </w:r>
      <w:r>
        <w:rPr>
          <w:sz w:val="24"/>
        </w:rPr>
        <w:t>including</w:t>
      </w:r>
      <w:r>
        <w:rPr>
          <w:spacing w:val="-5"/>
          <w:sz w:val="24"/>
        </w:rPr>
        <w:t> </w:t>
      </w:r>
      <w:r>
        <w:rPr>
          <w:sz w:val="24"/>
        </w:rPr>
        <w:t>conversion to open standards or other standards required by the Buyer</w:t>
      </w:r>
    </w:p>
    <w:p>
      <w:pPr>
        <w:pStyle w:val="ListParagraph"/>
        <w:numPr>
          <w:ilvl w:val="1"/>
          <w:numId w:val="1"/>
        </w:numPr>
        <w:tabs>
          <w:tab w:pos="1540" w:val="left" w:leader="none"/>
          <w:tab w:pos="1541" w:val="left" w:leader="none"/>
        </w:tabs>
        <w:spacing w:line="240" w:lineRule="auto" w:before="195" w:after="0"/>
        <w:ind w:left="1540" w:right="0" w:hanging="721"/>
        <w:jc w:val="left"/>
        <w:rPr>
          <w:sz w:val="24"/>
        </w:rPr>
      </w:pPr>
      <w:r>
        <w:rPr>
          <w:sz w:val="24"/>
        </w:rPr>
        <w:t>the</w:t>
      </w:r>
      <w:r>
        <w:rPr>
          <w:spacing w:val="-3"/>
          <w:sz w:val="24"/>
        </w:rPr>
        <w:t> </w:t>
      </w:r>
      <w:r>
        <w:rPr>
          <w:sz w:val="24"/>
        </w:rPr>
        <w:t>transfer</w:t>
      </w:r>
      <w:r>
        <w:rPr>
          <w:spacing w:val="-5"/>
          <w:sz w:val="24"/>
        </w:rPr>
        <w:t> </w:t>
      </w:r>
      <w:r>
        <w:rPr>
          <w:sz w:val="24"/>
        </w:rPr>
        <w:t>of</w:t>
      </w:r>
      <w:r>
        <w:rPr>
          <w:spacing w:val="3"/>
          <w:sz w:val="24"/>
        </w:rPr>
        <w:t> </w:t>
      </w:r>
      <w:r>
        <w:rPr>
          <w:sz w:val="24"/>
        </w:rPr>
        <w:t>New</w:t>
      </w:r>
      <w:r>
        <w:rPr>
          <w:spacing w:val="-4"/>
          <w:sz w:val="24"/>
        </w:rPr>
        <w:t> </w:t>
      </w:r>
      <w:r>
        <w:rPr>
          <w:sz w:val="24"/>
        </w:rPr>
        <w:t>IPR</w:t>
      </w:r>
      <w:r>
        <w:rPr>
          <w:spacing w:val="-2"/>
          <w:sz w:val="24"/>
        </w:rPr>
        <w:t> </w:t>
      </w:r>
      <w:r>
        <w:rPr>
          <w:sz w:val="24"/>
        </w:rPr>
        <w:t>items</w:t>
      </w:r>
      <w:r>
        <w:rPr>
          <w:spacing w:val="-2"/>
          <w:sz w:val="24"/>
        </w:rPr>
        <w:t> </w:t>
      </w:r>
      <w:r>
        <w:rPr>
          <w:sz w:val="24"/>
        </w:rPr>
        <w:t>to</w:t>
      </w:r>
      <w:r>
        <w:rPr>
          <w:spacing w:val="-2"/>
          <w:sz w:val="24"/>
        </w:rPr>
        <w:t> </w:t>
      </w:r>
      <w:r>
        <w:rPr>
          <w:sz w:val="24"/>
        </w:rPr>
        <w:t>the</w:t>
      </w:r>
      <w:r>
        <w:rPr>
          <w:spacing w:val="-4"/>
          <w:sz w:val="24"/>
        </w:rPr>
        <w:t> </w:t>
      </w:r>
      <w:r>
        <w:rPr>
          <w:sz w:val="24"/>
        </w:rPr>
        <w:t>Buyer</w:t>
      </w:r>
      <w:r>
        <w:rPr>
          <w:spacing w:val="-2"/>
          <w:sz w:val="24"/>
        </w:rPr>
        <w:t> </w:t>
      </w:r>
      <w:r>
        <w:rPr>
          <w:sz w:val="24"/>
        </w:rPr>
        <w:t>or</w:t>
      </w:r>
      <w:r>
        <w:rPr>
          <w:spacing w:val="-3"/>
          <w:sz w:val="24"/>
        </w:rPr>
        <w:t> </w:t>
      </w:r>
      <w:r>
        <w:rPr>
          <w:sz w:val="24"/>
        </w:rPr>
        <w:t>a</w:t>
      </w:r>
      <w:r>
        <w:rPr>
          <w:spacing w:val="1"/>
          <w:sz w:val="24"/>
        </w:rPr>
        <w:t> </w:t>
      </w:r>
      <w:r>
        <w:rPr>
          <w:sz w:val="24"/>
        </w:rPr>
        <w:t>Replacement </w:t>
      </w:r>
      <w:r>
        <w:rPr>
          <w:spacing w:val="-2"/>
          <w:sz w:val="24"/>
        </w:rPr>
        <w:t>Supplier</w:t>
      </w:r>
    </w:p>
    <w:p>
      <w:pPr>
        <w:pStyle w:val="BodyText"/>
        <w:rPr>
          <w:sz w:val="21"/>
        </w:rPr>
      </w:pPr>
    </w:p>
    <w:p>
      <w:pPr>
        <w:pStyle w:val="ListParagraph"/>
        <w:numPr>
          <w:ilvl w:val="1"/>
          <w:numId w:val="1"/>
        </w:numPr>
        <w:tabs>
          <w:tab w:pos="1540" w:val="left" w:leader="none"/>
          <w:tab w:pos="1541" w:val="left" w:leader="none"/>
        </w:tabs>
        <w:spacing w:line="240" w:lineRule="auto" w:before="1" w:after="0"/>
        <w:ind w:left="1540" w:right="0" w:hanging="721"/>
        <w:jc w:val="left"/>
        <w:rPr>
          <w:sz w:val="24"/>
        </w:rPr>
      </w:pPr>
      <w:r>
        <w:rPr>
          <w:sz w:val="24"/>
        </w:rPr>
        <w:t>the</w:t>
      </w:r>
      <w:r>
        <w:rPr>
          <w:spacing w:val="-3"/>
          <w:sz w:val="24"/>
        </w:rPr>
        <w:t> </w:t>
      </w:r>
      <w:r>
        <w:rPr>
          <w:sz w:val="24"/>
        </w:rPr>
        <w:t>testing</w:t>
      </w:r>
      <w:r>
        <w:rPr>
          <w:spacing w:val="-4"/>
          <w:sz w:val="24"/>
        </w:rPr>
        <w:t> </w:t>
      </w:r>
      <w:r>
        <w:rPr>
          <w:sz w:val="24"/>
        </w:rPr>
        <w:t>and</w:t>
      </w:r>
      <w:r>
        <w:rPr>
          <w:spacing w:val="-3"/>
          <w:sz w:val="24"/>
        </w:rPr>
        <w:t> </w:t>
      </w:r>
      <w:r>
        <w:rPr>
          <w:sz w:val="24"/>
        </w:rPr>
        <w:t>assurance</w:t>
      </w:r>
      <w:r>
        <w:rPr>
          <w:spacing w:val="-2"/>
          <w:sz w:val="24"/>
        </w:rPr>
        <w:t> </w:t>
      </w:r>
      <w:r>
        <w:rPr>
          <w:sz w:val="24"/>
        </w:rPr>
        <w:t>strategy</w:t>
      </w:r>
      <w:r>
        <w:rPr>
          <w:spacing w:val="-5"/>
          <w:sz w:val="24"/>
        </w:rPr>
        <w:t> </w:t>
      </w:r>
      <w:r>
        <w:rPr>
          <w:sz w:val="24"/>
        </w:rPr>
        <w:t>for</w:t>
      </w:r>
      <w:r>
        <w:rPr>
          <w:spacing w:val="-3"/>
          <w:sz w:val="24"/>
        </w:rPr>
        <w:t> </w:t>
      </w:r>
      <w:r>
        <w:rPr>
          <w:sz w:val="24"/>
        </w:rPr>
        <w:t>exported</w:t>
      </w:r>
      <w:r>
        <w:rPr>
          <w:spacing w:val="-2"/>
          <w:sz w:val="24"/>
        </w:rPr>
        <w:t> </w:t>
      </w:r>
      <w:r>
        <w:rPr>
          <w:sz w:val="24"/>
        </w:rPr>
        <w:t>Buyer</w:t>
      </w:r>
      <w:r>
        <w:rPr>
          <w:spacing w:val="3"/>
          <w:sz w:val="24"/>
        </w:rPr>
        <w:t> </w:t>
      </w:r>
      <w:r>
        <w:rPr>
          <w:spacing w:val="-4"/>
          <w:sz w:val="24"/>
        </w:rPr>
        <w:t>data</w:t>
      </w:r>
    </w:p>
    <w:p>
      <w:pPr>
        <w:pStyle w:val="BodyText"/>
        <w:spacing w:before="9"/>
        <w:rPr>
          <w:sz w:val="20"/>
        </w:rPr>
      </w:pPr>
    </w:p>
    <w:p>
      <w:pPr>
        <w:pStyle w:val="ListParagraph"/>
        <w:numPr>
          <w:ilvl w:val="1"/>
          <w:numId w:val="1"/>
        </w:numPr>
        <w:tabs>
          <w:tab w:pos="1540" w:val="left" w:leader="none"/>
          <w:tab w:pos="1541" w:val="left" w:leader="none"/>
        </w:tabs>
        <w:spacing w:line="240" w:lineRule="auto" w:before="1" w:after="0"/>
        <w:ind w:left="1540" w:right="0" w:hanging="721"/>
        <w:jc w:val="left"/>
        <w:rPr>
          <w:sz w:val="24"/>
        </w:rPr>
      </w:pPr>
      <w:r>
        <w:rPr>
          <w:sz w:val="24"/>
        </w:rPr>
        <w:t>if</w:t>
      </w:r>
      <w:r>
        <w:rPr>
          <w:spacing w:val="-5"/>
          <w:sz w:val="24"/>
        </w:rPr>
        <w:t> </w:t>
      </w:r>
      <w:r>
        <w:rPr>
          <w:sz w:val="24"/>
        </w:rPr>
        <w:t>relevant,</w:t>
      </w:r>
      <w:r>
        <w:rPr>
          <w:spacing w:val="-8"/>
          <w:sz w:val="24"/>
        </w:rPr>
        <w:t> </w:t>
      </w:r>
      <w:r>
        <w:rPr>
          <w:sz w:val="24"/>
        </w:rPr>
        <w:t>TUPE-related</w:t>
      </w:r>
      <w:r>
        <w:rPr>
          <w:spacing w:val="-7"/>
          <w:sz w:val="24"/>
        </w:rPr>
        <w:t> </w:t>
      </w:r>
      <w:r>
        <w:rPr>
          <w:sz w:val="24"/>
        </w:rPr>
        <w:t>activity</w:t>
      </w:r>
      <w:r>
        <w:rPr>
          <w:spacing w:val="-10"/>
          <w:sz w:val="24"/>
        </w:rPr>
        <w:t> </w:t>
      </w:r>
      <w:r>
        <w:rPr>
          <w:sz w:val="24"/>
        </w:rPr>
        <w:t>to</w:t>
      </w:r>
      <w:r>
        <w:rPr>
          <w:spacing w:val="-6"/>
          <w:sz w:val="24"/>
        </w:rPr>
        <w:t> </w:t>
      </w:r>
      <w:r>
        <w:rPr>
          <w:sz w:val="24"/>
        </w:rPr>
        <w:t>comply</w:t>
      </w:r>
      <w:r>
        <w:rPr>
          <w:spacing w:val="-10"/>
          <w:sz w:val="24"/>
        </w:rPr>
        <w:t> </w:t>
      </w:r>
      <w:r>
        <w:rPr>
          <w:sz w:val="24"/>
        </w:rPr>
        <w:t>with</w:t>
      </w:r>
      <w:r>
        <w:rPr>
          <w:spacing w:val="-6"/>
          <w:sz w:val="24"/>
        </w:rPr>
        <w:t> </w:t>
      </w:r>
      <w:r>
        <w:rPr>
          <w:sz w:val="24"/>
        </w:rPr>
        <w:t>the</w:t>
      </w:r>
      <w:r>
        <w:rPr>
          <w:spacing w:val="-9"/>
          <w:sz w:val="24"/>
        </w:rPr>
        <w:t> </w:t>
      </w:r>
      <w:r>
        <w:rPr>
          <w:sz w:val="24"/>
        </w:rPr>
        <w:t>TUPE</w:t>
      </w:r>
      <w:r>
        <w:rPr>
          <w:spacing w:val="-7"/>
          <w:sz w:val="24"/>
        </w:rPr>
        <w:t> </w:t>
      </w:r>
      <w:r>
        <w:rPr>
          <w:spacing w:val="-2"/>
          <w:sz w:val="24"/>
        </w:rPr>
        <w:t>regulations</w:t>
      </w:r>
    </w:p>
    <w:p>
      <w:pPr>
        <w:pStyle w:val="BodyText"/>
        <w:spacing w:before="9"/>
        <w:rPr>
          <w:sz w:val="20"/>
        </w:rPr>
      </w:pPr>
    </w:p>
    <w:p>
      <w:pPr>
        <w:pStyle w:val="ListParagraph"/>
        <w:numPr>
          <w:ilvl w:val="1"/>
          <w:numId w:val="1"/>
        </w:numPr>
        <w:tabs>
          <w:tab w:pos="1540" w:val="left" w:leader="none"/>
          <w:tab w:pos="1541" w:val="left" w:leader="none"/>
        </w:tabs>
        <w:spacing w:line="276" w:lineRule="auto" w:before="1" w:after="0"/>
        <w:ind w:left="820" w:right="296" w:firstLine="0"/>
        <w:jc w:val="left"/>
        <w:rPr>
          <w:sz w:val="24"/>
        </w:rPr>
      </w:pPr>
      <w:r>
        <w:rPr>
          <w:sz w:val="24"/>
        </w:rPr>
        <w:t>any other activities and information which are reasonably required to ensure</w:t>
      </w:r>
      <w:r>
        <w:rPr>
          <w:spacing w:val="-3"/>
          <w:sz w:val="24"/>
        </w:rPr>
        <w:t> </w:t>
      </w:r>
      <w:r>
        <w:rPr>
          <w:sz w:val="24"/>
        </w:rPr>
        <w:t>continuity</w:t>
      </w:r>
      <w:r>
        <w:rPr>
          <w:spacing w:val="-6"/>
          <w:sz w:val="24"/>
        </w:rPr>
        <w:t> </w:t>
      </w:r>
      <w:r>
        <w:rPr>
          <w:sz w:val="24"/>
        </w:rPr>
        <w:t>of service</w:t>
      </w:r>
      <w:r>
        <w:rPr>
          <w:spacing w:val="-3"/>
          <w:sz w:val="24"/>
        </w:rPr>
        <w:t> </w:t>
      </w:r>
      <w:r>
        <w:rPr>
          <w:sz w:val="24"/>
        </w:rPr>
        <w:t>during</w:t>
      </w:r>
      <w:r>
        <w:rPr>
          <w:spacing w:val="-5"/>
          <w:sz w:val="24"/>
        </w:rPr>
        <w:t> </w:t>
      </w:r>
      <w:r>
        <w:rPr>
          <w:sz w:val="24"/>
        </w:rPr>
        <w:t>the</w:t>
      </w:r>
      <w:r>
        <w:rPr>
          <w:spacing w:val="-5"/>
          <w:sz w:val="24"/>
        </w:rPr>
        <w:t> </w:t>
      </w:r>
      <w:r>
        <w:rPr>
          <w:sz w:val="24"/>
        </w:rPr>
        <w:t>exit</w:t>
      </w:r>
      <w:r>
        <w:rPr>
          <w:spacing w:val="-4"/>
          <w:sz w:val="24"/>
        </w:rPr>
        <w:t> </w:t>
      </w:r>
      <w:r>
        <w:rPr>
          <w:sz w:val="24"/>
        </w:rPr>
        <w:t>period</w:t>
      </w:r>
      <w:r>
        <w:rPr>
          <w:spacing w:val="-3"/>
          <w:sz w:val="24"/>
        </w:rPr>
        <w:t> </w:t>
      </w:r>
      <w:r>
        <w:rPr>
          <w:sz w:val="24"/>
        </w:rPr>
        <w:t>and</w:t>
      </w:r>
      <w:r>
        <w:rPr>
          <w:spacing w:val="-3"/>
          <w:sz w:val="24"/>
        </w:rPr>
        <w:t> </w:t>
      </w:r>
      <w:r>
        <w:rPr>
          <w:sz w:val="24"/>
        </w:rPr>
        <w:t>an</w:t>
      </w:r>
      <w:r>
        <w:rPr>
          <w:spacing w:val="-3"/>
          <w:sz w:val="24"/>
        </w:rPr>
        <w:t> </w:t>
      </w:r>
      <w:r>
        <w:rPr>
          <w:sz w:val="24"/>
        </w:rPr>
        <w:t>orderly</w:t>
      </w:r>
      <w:r>
        <w:rPr>
          <w:spacing w:val="-6"/>
          <w:sz w:val="24"/>
        </w:rPr>
        <w:t> </w:t>
      </w:r>
      <w:r>
        <w:rPr>
          <w:sz w:val="24"/>
        </w:rPr>
        <w:t>transition to the Buyer or a Replacement Supplier.</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5"/>
        <w:rPr>
          <w:sz w:val="23"/>
        </w:rPr>
      </w:pPr>
    </w:p>
    <w:p>
      <w:pPr>
        <w:spacing w:line="276" w:lineRule="auto" w:before="0"/>
        <w:ind w:left="100" w:right="6874" w:firstLine="0"/>
        <w:jc w:val="left"/>
        <w:rPr>
          <w:sz w:val="20"/>
        </w:rPr>
      </w:pPr>
      <w:r>
        <w:rPr>
          <w:sz w:val="20"/>
        </w:rPr>
        <w:t>DPS</w:t>
      </w:r>
      <w:r>
        <w:rPr>
          <w:spacing w:val="-14"/>
          <w:sz w:val="20"/>
        </w:rPr>
        <w:t> </w:t>
      </w:r>
      <w:r>
        <w:rPr>
          <w:sz w:val="20"/>
        </w:rPr>
        <w:t>Ref:</w:t>
      </w:r>
      <w:r>
        <w:rPr>
          <w:spacing w:val="-14"/>
          <w:sz w:val="20"/>
        </w:rPr>
        <w:t> </w:t>
      </w:r>
      <w:r>
        <w:rPr>
          <w:sz w:val="20"/>
        </w:rPr>
        <w:t>RM3764iii Model</w:t>
      </w:r>
      <w:r>
        <w:rPr>
          <w:spacing w:val="-9"/>
          <w:sz w:val="20"/>
        </w:rPr>
        <w:t> </w:t>
      </w:r>
      <w:r>
        <w:rPr>
          <w:sz w:val="20"/>
        </w:rPr>
        <w:t>Version:</w:t>
      </w:r>
      <w:r>
        <w:rPr>
          <w:spacing w:val="-8"/>
          <w:sz w:val="20"/>
        </w:rPr>
        <w:t> </w:t>
      </w:r>
      <w:r>
        <w:rPr>
          <w:spacing w:val="-4"/>
          <w:sz w:val="20"/>
        </w:rPr>
        <w:t>v1.0</w:t>
      </w:r>
    </w:p>
    <w:p>
      <w:pPr>
        <w:spacing w:line="234" w:lineRule="exact" w:before="0"/>
        <w:ind w:left="0" w:right="114" w:firstLine="0"/>
        <w:jc w:val="right"/>
        <w:rPr>
          <w:rFonts w:ascii="Calibri"/>
          <w:sz w:val="22"/>
        </w:rPr>
      </w:pPr>
      <w:r>
        <w:rPr>
          <w:rFonts w:ascii="Calibri"/>
          <w:w w:val="100"/>
          <w:sz w:val="22"/>
        </w:rPr>
        <w:t>1</w:t>
      </w:r>
    </w:p>
    <w:sectPr>
      <w:type w:val="continuous"/>
      <w:pgSz w:w="11910" w:h="16840"/>
      <w:pgMar w:top="620" w:bottom="28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100" w:hanging="720"/>
        <w:jc w:val="left"/>
      </w:pPr>
      <w:rPr>
        <w:rFonts w:hint="default" w:ascii="Arial" w:hAnsi="Arial" w:eastAsia="Arial" w:cs="Arial"/>
        <w:b w:val="0"/>
        <w:bCs w:val="0"/>
        <w:i w:val="0"/>
        <w:iCs w:val="0"/>
        <w:w w:val="100"/>
        <w:sz w:val="24"/>
        <w:szCs w:val="24"/>
        <w:lang w:val="en-US" w:eastAsia="en-US" w:bidi="ar-SA"/>
      </w:rPr>
    </w:lvl>
    <w:lvl w:ilvl="1">
      <w:start w:val="0"/>
      <w:numFmt w:val="bullet"/>
      <w:lvlText w:val="●"/>
      <w:lvlJc w:val="left"/>
      <w:pPr>
        <w:ind w:left="820" w:hanging="814"/>
      </w:pPr>
      <w:rPr>
        <w:rFonts w:hint="default" w:ascii="Arial" w:hAnsi="Arial" w:eastAsia="Arial" w:cs="Arial"/>
        <w:b w:val="0"/>
        <w:bCs w:val="0"/>
        <w:i w:val="0"/>
        <w:iCs w:val="0"/>
        <w:w w:val="100"/>
        <w:sz w:val="24"/>
        <w:szCs w:val="24"/>
        <w:lang w:val="en-US" w:eastAsia="en-US" w:bidi="ar-SA"/>
      </w:rPr>
    </w:lvl>
    <w:lvl w:ilvl="2">
      <w:start w:val="0"/>
      <w:numFmt w:val="bullet"/>
      <w:lvlText w:val="•"/>
      <w:lvlJc w:val="left"/>
      <w:pPr>
        <w:ind w:left="1756" w:hanging="814"/>
      </w:pPr>
      <w:rPr>
        <w:rFonts w:hint="default"/>
        <w:lang w:val="en-US" w:eastAsia="en-US" w:bidi="ar-SA"/>
      </w:rPr>
    </w:lvl>
    <w:lvl w:ilvl="3">
      <w:start w:val="0"/>
      <w:numFmt w:val="bullet"/>
      <w:lvlText w:val="•"/>
      <w:lvlJc w:val="left"/>
      <w:pPr>
        <w:ind w:left="2692" w:hanging="814"/>
      </w:pPr>
      <w:rPr>
        <w:rFonts w:hint="default"/>
        <w:lang w:val="en-US" w:eastAsia="en-US" w:bidi="ar-SA"/>
      </w:rPr>
    </w:lvl>
    <w:lvl w:ilvl="4">
      <w:start w:val="0"/>
      <w:numFmt w:val="bullet"/>
      <w:lvlText w:val="•"/>
      <w:lvlJc w:val="left"/>
      <w:pPr>
        <w:ind w:left="3628" w:hanging="814"/>
      </w:pPr>
      <w:rPr>
        <w:rFonts w:hint="default"/>
        <w:lang w:val="en-US" w:eastAsia="en-US" w:bidi="ar-SA"/>
      </w:rPr>
    </w:lvl>
    <w:lvl w:ilvl="5">
      <w:start w:val="0"/>
      <w:numFmt w:val="bullet"/>
      <w:lvlText w:val="•"/>
      <w:lvlJc w:val="left"/>
      <w:pPr>
        <w:ind w:left="4565" w:hanging="814"/>
      </w:pPr>
      <w:rPr>
        <w:rFonts w:hint="default"/>
        <w:lang w:val="en-US" w:eastAsia="en-US" w:bidi="ar-SA"/>
      </w:rPr>
    </w:lvl>
    <w:lvl w:ilvl="6">
      <w:start w:val="0"/>
      <w:numFmt w:val="bullet"/>
      <w:lvlText w:val="•"/>
      <w:lvlJc w:val="left"/>
      <w:pPr>
        <w:ind w:left="5501" w:hanging="814"/>
      </w:pPr>
      <w:rPr>
        <w:rFonts w:hint="default"/>
        <w:lang w:val="en-US" w:eastAsia="en-US" w:bidi="ar-SA"/>
      </w:rPr>
    </w:lvl>
    <w:lvl w:ilvl="7">
      <w:start w:val="0"/>
      <w:numFmt w:val="bullet"/>
      <w:lvlText w:val="•"/>
      <w:lvlJc w:val="left"/>
      <w:pPr>
        <w:ind w:left="6437" w:hanging="814"/>
      </w:pPr>
      <w:rPr>
        <w:rFonts w:hint="default"/>
        <w:lang w:val="en-US" w:eastAsia="en-US" w:bidi="ar-SA"/>
      </w:rPr>
    </w:lvl>
    <w:lvl w:ilvl="8">
      <w:start w:val="0"/>
      <w:numFmt w:val="bullet"/>
      <w:lvlText w:val="•"/>
      <w:lvlJc w:val="left"/>
      <w:pPr>
        <w:ind w:left="7373" w:hanging="814"/>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Title" w:type="paragraph">
    <w:name w:val="Title"/>
    <w:basedOn w:val="Normal"/>
    <w:uiPriority w:val="1"/>
    <w:qFormat/>
    <w:pPr>
      <w:spacing w:before="221"/>
      <w:ind w:left="100"/>
    </w:pPr>
    <w:rPr>
      <w:rFonts w:ascii="Arial" w:hAnsi="Arial" w:eastAsia="Arial" w:cs="Arial"/>
      <w:b/>
      <w:bCs/>
      <w:sz w:val="32"/>
      <w:szCs w:val="32"/>
      <w:lang w:val="en-US" w:eastAsia="en-US" w:bidi="ar-SA"/>
    </w:rPr>
  </w:style>
  <w:style w:styleId="ListParagraph" w:type="paragraph">
    <w:name w:val="List Paragraph"/>
    <w:basedOn w:val="Normal"/>
    <w:uiPriority w:val="1"/>
    <w:qFormat/>
    <w:pPr>
      <w:spacing w:before="1"/>
      <w:ind w:left="100"/>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dcterms:created xsi:type="dcterms:W3CDTF">2024-12-09T14:26:32Z</dcterms:created>
  <dcterms:modified xsi:type="dcterms:W3CDTF">2024-12-09T14:26:32Z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